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018" w:rsidRDefault="00571018" w:rsidP="00571018">
      <w:pPr>
        <w:shd w:val="clear" w:color="auto" w:fill="F4B083"/>
        <w:jc w:val="center"/>
        <w:rPr>
          <w:rFonts w:ascii="Calibri" w:hAnsi="Calibri"/>
          <w:b/>
          <w:bCs/>
          <w:sz w:val="28"/>
          <w:szCs w:val="28"/>
        </w:rPr>
      </w:pPr>
    </w:p>
    <w:p w:rsidR="00571018" w:rsidRDefault="00571018" w:rsidP="00571018">
      <w:pPr>
        <w:shd w:val="clear" w:color="auto" w:fill="F4B083"/>
        <w:jc w:val="center"/>
        <w:rPr>
          <w:rFonts w:ascii="Calibri" w:hAnsi="Calibri"/>
          <w:b/>
          <w:bCs/>
          <w:sz w:val="28"/>
          <w:szCs w:val="28"/>
        </w:rPr>
      </w:pPr>
      <w:r>
        <w:rPr>
          <w:rFonts w:ascii="Calibri" w:hAnsi="Calibri"/>
          <w:b/>
          <w:bCs/>
          <w:sz w:val="28"/>
          <w:szCs w:val="28"/>
        </w:rPr>
        <w:t>Судебная практика по трудовым спорам. Тренды 2023-2024</w:t>
      </w:r>
    </w:p>
    <w:p w:rsidR="00571018" w:rsidRDefault="00571018" w:rsidP="00571018">
      <w:pPr>
        <w:shd w:val="clear" w:color="auto" w:fill="F4B083"/>
        <w:jc w:val="center"/>
        <w:rPr>
          <w:rFonts w:ascii="Calibri" w:hAnsi="Calibri"/>
          <w:b/>
          <w:bCs/>
          <w:sz w:val="28"/>
          <w:szCs w:val="28"/>
        </w:rPr>
      </w:pPr>
    </w:p>
    <w:p w:rsidR="00571018" w:rsidRDefault="00571018" w:rsidP="00571018">
      <w:pPr>
        <w:autoSpaceDE w:val="0"/>
        <w:autoSpaceDN w:val="0"/>
        <w:adjustRightInd w:val="0"/>
        <w:jc w:val="both"/>
        <w:outlineLvl w:val="0"/>
        <w:rPr>
          <w:rFonts w:ascii="Calibri" w:hAnsi="Calibri" w:cs="Calibri"/>
          <w:sz w:val="22"/>
          <w:szCs w:val="22"/>
        </w:rPr>
      </w:pPr>
    </w:p>
    <w:p w:rsidR="00571018" w:rsidRDefault="00571018" w:rsidP="00571018">
      <w:pPr>
        <w:autoSpaceDE w:val="0"/>
        <w:autoSpaceDN w:val="0"/>
        <w:adjustRightInd w:val="0"/>
        <w:ind w:firstLine="708"/>
        <w:jc w:val="both"/>
        <w:rPr>
          <w:rFonts w:asciiTheme="minorHAnsi" w:hAnsiTheme="minorHAnsi" w:cstheme="minorHAnsi"/>
          <w:sz w:val="22"/>
          <w:szCs w:val="22"/>
        </w:rPr>
      </w:pPr>
    </w:p>
    <w:p w:rsidR="00571018" w:rsidRDefault="00571018" w:rsidP="00571018">
      <w:pPr>
        <w:autoSpaceDE w:val="0"/>
        <w:autoSpaceDN w:val="0"/>
        <w:adjustRightInd w:val="0"/>
        <w:ind w:firstLine="708"/>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В последнее время в рамках трудовых споров суды активно принимают решения в пользу работника, прибегая к довольно популярной конструкции, что работник - заведомо слабая сторона, поэтому любое сомнение толкуется в пользу работника. </w:t>
      </w:r>
    </w:p>
    <w:p w:rsidR="00571018" w:rsidRDefault="00571018" w:rsidP="00571018">
      <w:pPr>
        <w:autoSpaceDE w:val="0"/>
        <w:autoSpaceDN w:val="0"/>
        <w:adjustRightInd w:val="0"/>
        <w:ind w:firstLine="708"/>
        <w:jc w:val="both"/>
        <w:rPr>
          <w:rFonts w:ascii="Calibri" w:eastAsiaTheme="minorHAnsi" w:hAnsi="Calibri" w:cs="Calibri"/>
          <w:sz w:val="22"/>
          <w:szCs w:val="22"/>
          <w:lang w:eastAsia="en-US"/>
        </w:rPr>
      </w:pPr>
    </w:p>
    <w:p w:rsidR="00571018" w:rsidRDefault="00571018" w:rsidP="00571018">
      <w:pPr>
        <w:autoSpaceDE w:val="0"/>
        <w:autoSpaceDN w:val="0"/>
        <w:adjustRightInd w:val="0"/>
        <w:ind w:firstLine="708"/>
        <w:jc w:val="both"/>
        <w:rPr>
          <w:rFonts w:ascii="Calibri" w:eastAsiaTheme="minorHAnsi" w:hAnsi="Calibri" w:cs="Calibri"/>
          <w:sz w:val="22"/>
          <w:szCs w:val="22"/>
          <w:lang w:eastAsia="en-US"/>
        </w:rPr>
      </w:pPr>
      <w:r>
        <w:rPr>
          <w:rFonts w:ascii="Calibri" w:eastAsiaTheme="minorHAnsi" w:hAnsi="Calibri" w:cs="Calibri"/>
          <w:sz w:val="22"/>
          <w:szCs w:val="22"/>
          <w:lang w:eastAsia="en-US"/>
        </w:rPr>
        <w:t xml:space="preserve">Судебная практика 2023-2024 годов не стала исключением, наоборот, в некоторых случаях приобрела </w:t>
      </w:r>
      <w:proofErr w:type="gramStart"/>
      <w:r>
        <w:rPr>
          <w:rFonts w:ascii="Calibri" w:eastAsiaTheme="minorHAnsi" w:hAnsi="Calibri" w:cs="Calibri"/>
          <w:sz w:val="22"/>
          <w:szCs w:val="22"/>
          <w:lang w:eastAsia="en-US"/>
        </w:rPr>
        <w:t>сверх</w:t>
      </w:r>
      <w:proofErr w:type="gramEnd"/>
      <w:r>
        <w:rPr>
          <w:rFonts w:ascii="Calibri" w:eastAsiaTheme="minorHAnsi" w:hAnsi="Calibri" w:cs="Calibri"/>
          <w:sz w:val="22"/>
          <w:szCs w:val="22"/>
          <w:lang w:eastAsia="en-US"/>
        </w:rPr>
        <w:t xml:space="preserve"> </w:t>
      </w:r>
      <w:proofErr w:type="gramStart"/>
      <w:r>
        <w:rPr>
          <w:rFonts w:ascii="Calibri" w:eastAsiaTheme="minorHAnsi" w:hAnsi="Calibri" w:cs="Calibri"/>
          <w:sz w:val="22"/>
          <w:szCs w:val="22"/>
          <w:lang w:eastAsia="en-US"/>
        </w:rPr>
        <w:t>масштабы</w:t>
      </w:r>
      <w:proofErr w:type="gramEnd"/>
      <w:r>
        <w:rPr>
          <w:rFonts w:ascii="Calibri" w:eastAsiaTheme="minorHAnsi" w:hAnsi="Calibri" w:cs="Calibri"/>
          <w:sz w:val="22"/>
          <w:szCs w:val="22"/>
          <w:lang w:eastAsia="en-US"/>
        </w:rPr>
        <w:t xml:space="preserve"> по защите прав работника. КС РФ в прошедшем году вынес достаточно много резонансных определений, которые меняют подход к разрешению трудовых споров, ВС РФ неоднократно в обзорах делал акцент на приоритет прав работника при разрешении трудовых споров. Именно поэтому работодателям следует очень внимательно подходить к расторжению трудовых договоров, </w:t>
      </w:r>
      <w:proofErr w:type="gramStart"/>
      <w:r>
        <w:rPr>
          <w:rFonts w:ascii="Calibri" w:eastAsiaTheme="minorHAnsi" w:hAnsi="Calibri" w:cs="Calibri"/>
          <w:sz w:val="22"/>
          <w:szCs w:val="22"/>
          <w:lang w:eastAsia="en-US"/>
        </w:rPr>
        <w:t>отказе</w:t>
      </w:r>
      <w:proofErr w:type="gramEnd"/>
      <w:r>
        <w:rPr>
          <w:rFonts w:ascii="Calibri" w:eastAsiaTheme="minorHAnsi" w:hAnsi="Calibri" w:cs="Calibri"/>
          <w:sz w:val="22"/>
          <w:szCs w:val="22"/>
          <w:lang w:eastAsia="en-US"/>
        </w:rPr>
        <w:t xml:space="preserve"> в приеме на работу, отказе в переводе на должность и других важных этапах трудовых отношений.</w:t>
      </w:r>
    </w:p>
    <w:p w:rsidR="00571018" w:rsidRDefault="00571018" w:rsidP="00571018">
      <w:pPr>
        <w:autoSpaceDE w:val="0"/>
        <w:autoSpaceDN w:val="0"/>
        <w:adjustRightInd w:val="0"/>
        <w:ind w:firstLine="708"/>
        <w:jc w:val="both"/>
        <w:rPr>
          <w:rFonts w:ascii="Calibri" w:eastAsiaTheme="minorHAnsi" w:hAnsi="Calibri" w:cs="Calibri"/>
          <w:sz w:val="22"/>
          <w:szCs w:val="22"/>
          <w:lang w:eastAsia="en-US"/>
        </w:rPr>
      </w:pPr>
    </w:p>
    <w:p w:rsidR="00571018" w:rsidRDefault="00571018" w:rsidP="00571018">
      <w:pPr>
        <w:autoSpaceDE w:val="0"/>
        <w:autoSpaceDN w:val="0"/>
        <w:adjustRightInd w:val="0"/>
        <w:ind w:firstLine="708"/>
        <w:jc w:val="both"/>
        <w:rPr>
          <w:rFonts w:ascii="Calibri" w:eastAsiaTheme="minorHAnsi" w:hAnsi="Calibri" w:cs="Calibri"/>
          <w:sz w:val="22"/>
          <w:szCs w:val="22"/>
          <w:lang w:eastAsia="en-US"/>
        </w:rPr>
      </w:pPr>
      <w:r>
        <w:rPr>
          <w:rFonts w:ascii="Calibri" w:eastAsiaTheme="minorHAnsi" w:hAnsi="Calibri" w:cs="Calibri"/>
          <w:sz w:val="22"/>
          <w:szCs w:val="22"/>
          <w:lang w:eastAsia="en-US"/>
        </w:rPr>
        <w:t>По статистике судебных споров за 2023 год лидируют споры:</w:t>
      </w:r>
    </w:p>
    <w:p w:rsidR="00571018" w:rsidRDefault="00571018" w:rsidP="00571018">
      <w:pPr>
        <w:pStyle w:val="a6"/>
        <w:numPr>
          <w:ilvl w:val="0"/>
          <w:numId w:val="2"/>
        </w:num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По выплате заработной платы, в пользу работника принято 94% решений;</w:t>
      </w:r>
    </w:p>
    <w:p w:rsidR="00571018" w:rsidRDefault="00571018" w:rsidP="00571018">
      <w:pPr>
        <w:pStyle w:val="a6"/>
        <w:numPr>
          <w:ilvl w:val="0"/>
          <w:numId w:val="2"/>
        </w:num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По увольнениям по инициативе работодателя – 59%;</w:t>
      </w:r>
    </w:p>
    <w:p w:rsidR="00571018" w:rsidRPr="002D06A8" w:rsidRDefault="00571018" w:rsidP="00571018">
      <w:pPr>
        <w:pStyle w:val="a6"/>
        <w:numPr>
          <w:ilvl w:val="0"/>
          <w:numId w:val="2"/>
        </w:numPr>
        <w:autoSpaceDE w:val="0"/>
        <w:autoSpaceDN w:val="0"/>
        <w:adjustRightInd w:val="0"/>
        <w:jc w:val="both"/>
        <w:rPr>
          <w:rFonts w:ascii="Calibri" w:eastAsiaTheme="minorHAnsi" w:hAnsi="Calibri" w:cs="Calibri"/>
          <w:sz w:val="22"/>
          <w:szCs w:val="22"/>
          <w:lang w:eastAsia="en-US"/>
        </w:rPr>
      </w:pPr>
      <w:r>
        <w:rPr>
          <w:rFonts w:ascii="Calibri" w:eastAsiaTheme="minorHAnsi" w:hAnsi="Calibri" w:cs="Calibri"/>
          <w:sz w:val="22"/>
          <w:szCs w:val="22"/>
          <w:lang w:eastAsia="en-US"/>
        </w:rPr>
        <w:t>По обжалованию дисциплинарных взысканий – 53%.</w:t>
      </w:r>
    </w:p>
    <w:p w:rsidR="00571018" w:rsidRDefault="00571018" w:rsidP="00571018">
      <w:pPr>
        <w:autoSpaceDE w:val="0"/>
        <w:autoSpaceDN w:val="0"/>
        <w:adjustRightInd w:val="0"/>
        <w:jc w:val="both"/>
        <w:rPr>
          <w:rFonts w:asciiTheme="minorHAnsi" w:eastAsiaTheme="minorHAnsi" w:hAnsiTheme="minorHAnsi" w:cstheme="minorHAnsi"/>
          <w:sz w:val="22"/>
          <w:szCs w:val="22"/>
          <w:lang w:eastAsia="en-US"/>
        </w:rPr>
      </w:pP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В представленном материале на основе судебной практики 2023 года мы детально рассмотрели основные моменты,</w:t>
      </w:r>
      <w:r w:rsidRPr="00C41632">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на которые стоит обратить особое внимание при взаимодействии с работником. Именно в этих блоках наиболее часто работодатели допускают ошибки, что приводит к дальнейшим спорам с работниками.</w:t>
      </w: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Благодаря материалу:</w:t>
      </w: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p>
    <w:p w:rsidR="00571018" w:rsidRDefault="00571018" w:rsidP="00571018">
      <w:pPr>
        <w:pStyle w:val="a6"/>
        <w:numPr>
          <w:ilvl w:val="0"/>
          <w:numId w:val="1"/>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Наглядно ознакомитесь с новыми подходами КС РФ при рассмотрении споров, связанных с доходом сотрудников, занятостью и дополнительных обязанностях при увольнении;</w:t>
      </w:r>
    </w:p>
    <w:p w:rsidR="00571018" w:rsidRDefault="00571018" w:rsidP="00571018">
      <w:pPr>
        <w:pStyle w:val="a6"/>
        <w:numPr>
          <w:ilvl w:val="0"/>
          <w:numId w:val="1"/>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Рассмотрите интересные судебные кейсы по вопросам приема на работу, испытательного срока, срочного трудового договора, увольнения;</w:t>
      </w:r>
    </w:p>
    <w:p w:rsidR="00571018" w:rsidRPr="00F92CF4" w:rsidRDefault="00571018" w:rsidP="00571018">
      <w:pPr>
        <w:pStyle w:val="a6"/>
        <w:numPr>
          <w:ilvl w:val="0"/>
          <w:numId w:val="1"/>
        </w:numPr>
        <w:autoSpaceDE w:val="0"/>
        <w:autoSpaceDN w:val="0"/>
        <w:adjustRightInd w:val="0"/>
        <w:spacing w:line="276" w:lineRule="auto"/>
        <w:jc w:val="both"/>
        <w:rPr>
          <w:rFonts w:ascii="Calibri" w:hAnsi="Calibri" w:cs="Calibri"/>
          <w:sz w:val="22"/>
          <w:szCs w:val="22"/>
        </w:rPr>
      </w:pPr>
      <w:r>
        <w:rPr>
          <w:rFonts w:ascii="Calibri" w:hAnsi="Calibri" w:cs="Calibri"/>
          <w:sz w:val="22"/>
          <w:szCs w:val="22"/>
        </w:rPr>
        <w:t>Рассмотрите практику применения позиций КС РФ и ВС РФ нижестоящими судами.</w:t>
      </w:r>
    </w:p>
    <w:p w:rsidR="00571018" w:rsidRPr="00C41632" w:rsidRDefault="00571018" w:rsidP="00571018">
      <w:pPr>
        <w:pStyle w:val="a6"/>
        <w:autoSpaceDE w:val="0"/>
        <w:autoSpaceDN w:val="0"/>
        <w:adjustRightInd w:val="0"/>
        <w:ind w:left="1260"/>
        <w:jc w:val="both"/>
        <w:rPr>
          <w:rFonts w:asciiTheme="minorHAnsi" w:eastAsiaTheme="minorHAnsi" w:hAnsiTheme="minorHAnsi" w:cstheme="minorHAnsi"/>
          <w:sz w:val="22"/>
          <w:szCs w:val="22"/>
          <w:lang w:eastAsia="en-US"/>
        </w:rPr>
      </w:pP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В сборнике представлены самые показательные судебные решения 2023-2024 года.</w:t>
      </w:r>
    </w:p>
    <w:p w:rsidR="00571018" w:rsidRDefault="00571018" w:rsidP="00571018">
      <w:pPr>
        <w:autoSpaceDE w:val="0"/>
        <w:autoSpaceDN w:val="0"/>
        <w:adjustRightInd w:val="0"/>
        <w:ind w:firstLine="540"/>
        <w:jc w:val="both"/>
        <w:rPr>
          <w:rFonts w:asciiTheme="minorHAnsi" w:eastAsiaTheme="minorHAnsi" w:hAnsiTheme="minorHAnsi" w:cstheme="minorHAnsi"/>
          <w:sz w:val="22"/>
          <w:szCs w:val="22"/>
          <w:lang w:eastAsia="en-US"/>
        </w:rPr>
      </w:pPr>
    </w:p>
    <w:p w:rsidR="00571018" w:rsidRDefault="00571018" w:rsidP="00571018">
      <w:pPr>
        <w:autoSpaceDE w:val="0"/>
        <w:autoSpaceDN w:val="0"/>
        <w:adjustRightInd w:val="0"/>
        <w:jc w:val="both"/>
        <w:rPr>
          <w:rFonts w:ascii="Calibri" w:hAnsi="Calibri" w:cs="Calibri"/>
          <w:sz w:val="22"/>
          <w:szCs w:val="22"/>
        </w:rPr>
      </w:pPr>
      <w:r>
        <w:rPr>
          <w:rFonts w:asciiTheme="minorHAnsi" w:eastAsiaTheme="minorHAnsi" w:hAnsiTheme="minorHAnsi" w:cstheme="minorHAnsi"/>
          <w:sz w:val="22"/>
          <w:szCs w:val="22"/>
          <w:lang w:eastAsia="en-US"/>
        </w:rPr>
        <w:t>В качестве бонуса Вы получите ключевые разъяснения ВС РФ по трудовым спорам в 2023 году, а также уникальный материал «</w:t>
      </w:r>
      <w:r w:rsidRPr="00182A82">
        <w:rPr>
          <w:rFonts w:asciiTheme="minorHAnsi" w:eastAsiaTheme="minorHAnsi" w:hAnsiTheme="minorHAnsi" w:cstheme="minorHAnsi"/>
          <w:sz w:val="22"/>
          <w:szCs w:val="22"/>
          <w:lang w:eastAsia="en-US"/>
        </w:rPr>
        <w:t>Перспективы и риск</w:t>
      </w:r>
      <w:r>
        <w:rPr>
          <w:rFonts w:asciiTheme="minorHAnsi" w:eastAsiaTheme="minorHAnsi" w:hAnsiTheme="minorHAnsi" w:cstheme="minorHAnsi"/>
          <w:sz w:val="22"/>
          <w:szCs w:val="22"/>
          <w:lang w:eastAsia="en-US"/>
        </w:rPr>
        <w:t>и спора в суде общей юрисдикции при увольнении по собственному желанию», с помощью которого легко сможете оценить перспективы разрешения спора в суде и обосновать свою позицию.</w:t>
      </w:r>
    </w:p>
    <w:p w:rsidR="00571018" w:rsidRDefault="00571018" w:rsidP="00571018">
      <w:pPr>
        <w:autoSpaceDE w:val="0"/>
        <w:autoSpaceDN w:val="0"/>
        <w:adjustRightInd w:val="0"/>
        <w:ind w:firstLine="708"/>
        <w:jc w:val="both"/>
        <w:rPr>
          <w:rFonts w:ascii="Calibri" w:hAnsi="Calibri" w:cs="Calibri"/>
          <w:sz w:val="22"/>
          <w:szCs w:val="22"/>
        </w:rPr>
      </w:pPr>
    </w:p>
    <w:p w:rsidR="00571018" w:rsidRDefault="00571018" w:rsidP="00571018">
      <w:pPr>
        <w:autoSpaceDE w:val="0"/>
        <w:autoSpaceDN w:val="0"/>
        <w:adjustRightInd w:val="0"/>
        <w:ind w:firstLine="708"/>
        <w:jc w:val="both"/>
        <w:rPr>
          <w:rFonts w:ascii="Calibri" w:hAnsi="Calibri" w:cs="Calibri"/>
          <w:sz w:val="22"/>
          <w:szCs w:val="22"/>
        </w:rPr>
      </w:pPr>
    </w:p>
    <w:p w:rsidR="00986496" w:rsidRPr="00986496" w:rsidRDefault="00986496" w:rsidP="00986496">
      <w:pPr>
        <w:rPr>
          <w:rFonts w:asciiTheme="minorHAnsi" w:hAnsiTheme="minorHAnsi" w:cs="Arial"/>
          <w:b/>
          <w:bCs/>
          <w:color w:val="000000"/>
          <w:sz w:val="22"/>
          <w:szCs w:val="22"/>
          <w:shd w:val="clear" w:color="auto" w:fill="FFFFFF"/>
        </w:rPr>
      </w:pPr>
      <w:r w:rsidRPr="00986496">
        <w:rPr>
          <w:rFonts w:asciiTheme="minorHAnsi" w:hAnsiTheme="minorHAnsi" w:cs="Arial"/>
          <w:b/>
          <w:bCs/>
          <w:color w:val="000000"/>
          <w:sz w:val="22"/>
          <w:szCs w:val="22"/>
          <w:shd w:val="clear" w:color="auto" w:fill="FFFFFF"/>
        </w:rPr>
        <w:t>Почему это важно? </w:t>
      </w:r>
    </w:p>
    <w:p w:rsidR="00986496" w:rsidRPr="00986496" w:rsidRDefault="00986496" w:rsidP="00986496">
      <w:pPr>
        <w:rPr>
          <w:rFonts w:asciiTheme="minorHAnsi" w:hAnsiTheme="minorHAnsi"/>
          <w:sz w:val="22"/>
          <w:szCs w:val="22"/>
        </w:rPr>
      </w:pPr>
      <w:r w:rsidRPr="00986496">
        <w:rPr>
          <w:rFonts w:asciiTheme="minorHAnsi" w:hAnsiTheme="minorHAnsi"/>
          <w:sz w:val="22"/>
          <w:szCs w:val="22"/>
        </w:rPr>
        <w:t>Существуют различные формы и виды ответственности за нарушения трудовых прав</w:t>
      </w:r>
      <w:r>
        <w:rPr>
          <w:rFonts w:asciiTheme="minorHAnsi" w:hAnsiTheme="minorHAnsi"/>
          <w:sz w:val="22"/>
          <w:szCs w:val="22"/>
        </w:rPr>
        <w:t>:</w:t>
      </w:r>
      <w:r w:rsidRPr="00986496">
        <w:rPr>
          <w:rFonts w:asciiTheme="minorHAnsi" w:hAnsiTheme="minorHAnsi"/>
          <w:sz w:val="22"/>
          <w:szCs w:val="22"/>
        </w:rPr>
        <w:t xml:space="preserve"> </w:t>
      </w:r>
    </w:p>
    <w:p w:rsidR="00986496" w:rsidRPr="00986496" w:rsidRDefault="00986496" w:rsidP="00986496">
      <w:pPr>
        <w:pStyle w:val="a9"/>
        <w:spacing w:before="0" w:beforeAutospacing="0" w:after="0" w:afterAutospacing="0" w:line="288" w:lineRule="atLeast"/>
        <w:ind w:firstLine="540"/>
        <w:jc w:val="both"/>
        <w:rPr>
          <w:rFonts w:asciiTheme="minorHAnsi" w:hAnsiTheme="minorHAnsi"/>
          <w:sz w:val="22"/>
          <w:szCs w:val="22"/>
        </w:rPr>
      </w:pPr>
      <w:r w:rsidRPr="00986496">
        <w:rPr>
          <w:rFonts w:asciiTheme="minorHAnsi" w:hAnsiTheme="minorHAnsi"/>
          <w:sz w:val="22"/>
          <w:szCs w:val="22"/>
        </w:rPr>
        <w:t>За уклонение от оформления трудового договора или заключение ГПД, который фактически поменяет трудовой договор при первичном нарушении, штраф для руководителя составит от 10 тысяч до 20 тысяч рублей, для компании - от 50 тысяч до 100 тысяч рублей. При повторном нарушении руководителю грозит дисквалификация на срок от одного года до трех лет, компании - штраф от 100 тысяч до 200 тысяч рублей (</w:t>
      </w:r>
      <w:hyperlink r:id="rId8" w:history="1">
        <w:r w:rsidRPr="00986496">
          <w:rPr>
            <w:rStyle w:val="a5"/>
            <w:rFonts w:asciiTheme="minorHAnsi" w:hAnsiTheme="minorHAnsi"/>
            <w:sz w:val="22"/>
            <w:szCs w:val="22"/>
          </w:rPr>
          <w:t>ч. 4</w:t>
        </w:r>
      </w:hyperlink>
      <w:r w:rsidRPr="00986496">
        <w:rPr>
          <w:rFonts w:asciiTheme="minorHAnsi" w:hAnsiTheme="minorHAnsi"/>
          <w:sz w:val="22"/>
          <w:szCs w:val="22"/>
        </w:rPr>
        <w:t xml:space="preserve">, </w:t>
      </w:r>
      <w:hyperlink r:id="rId9" w:history="1">
        <w:r w:rsidRPr="00986496">
          <w:rPr>
            <w:rStyle w:val="a5"/>
            <w:rFonts w:asciiTheme="minorHAnsi" w:hAnsiTheme="minorHAnsi"/>
            <w:sz w:val="22"/>
            <w:szCs w:val="22"/>
          </w:rPr>
          <w:t>5 ст. 5.27</w:t>
        </w:r>
      </w:hyperlink>
      <w:r w:rsidRPr="00986496">
        <w:rPr>
          <w:rFonts w:asciiTheme="minorHAnsi" w:hAnsiTheme="minorHAnsi"/>
          <w:sz w:val="22"/>
          <w:szCs w:val="22"/>
        </w:rPr>
        <w:t xml:space="preserve"> КоАП РФ).</w:t>
      </w:r>
    </w:p>
    <w:p w:rsidR="00620836" w:rsidRDefault="00986496" w:rsidP="00AE422E">
      <w:pPr>
        <w:pStyle w:val="a9"/>
        <w:spacing w:before="168" w:beforeAutospacing="0" w:after="0" w:afterAutospacing="0" w:line="288" w:lineRule="atLeast"/>
        <w:ind w:firstLine="540"/>
        <w:jc w:val="both"/>
        <w:rPr>
          <w:rFonts w:asciiTheme="minorHAnsi" w:hAnsiTheme="minorHAnsi"/>
          <w:sz w:val="22"/>
          <w:szCs w:val="22"/>
        </w:rPr>
      </w:pPr>
      <w:r w:rsidRPr="00986496">
        <w:rPr>
          <w:rFonts w:asciiTheme="minorHAnsi" w:hAnsiTheme="minorHAnsi"/>
          <w:sz w:val="22"/>
          <w:szCs w:val="22"/>
        </w:rPr>
        <w:t>За нарушение сроков выплаты зарплаты либо зарплату ниже МРОТ при первичном нарушении руководителя могут оштрафовать на сумму от 10 тысяч до 20 тысяч рублей, компанию - на сумму от 30 тысяч до 50 тысяч рублей. Повторное нарушение наказывается штрафом для руководителя на сумму от 20 тысяч до 30 тысяч рублей или дисквалификацией на срок от одного года до трех лет, для компании штраф от 50 тысяч до 100 тысяч рублей (</w:t>
      </w:r>
      <w:hyperlink r:id="rId10" w:history="1">
        <w:r w:rsidRPr="00986496">
          <w:rPr>
            <w:rStyle w:val="a5"/>
            <w:rFonts w:asciiTheme="minorHAnsi" w:hAnsiTheme="minorHAnsi"/>
            <w:sz w:val="22"/>
            <w:szCs w:val="22"/>
          </w:rPr>
          <w:t>ч. 6</w:t>
        </w:r>
      </w:hyperlink>
      <w:r w:rsidRPr="00986496">
        <w:rPr>
          <w:rFonts w:asciiTheme="minorHAnsi" w:hAnsiTheme="minorHAnsi"/>
          <w:sz w:val="22"/>
          <w:szCs w:val="22"/>
        </w:rPr>
        <w:t xml:space="preserve">, </w:t>
      </w:r>
      <w:hyperlink r:id="rId11" w:history="1">
        <w:r w:rsidRPr="00986496">
          <w:rPr>
            <w:rStyle w:val="a5"/>
            <w:rFonts w:asciiTheme="minorHAnsi" w:hAnsiTheme="minorHAnsi"/>
            <w:sz w:val="22"/>
            <w:szCs w:val="22"/>
          </w:rPr>
          <w:t>7 ст. 5.27</w:t>
        </w:r>
      </w:hyperlink>
      <w:r w:rsidRPr="00986496">
        <w:rPr>
          <w:rFonts w:asciiTheme="minorHAnsi" w:hAnsiTheme="minorHAnsi"/>
          <w:sz w:val="22"/>
          <w:szCs w:val="22"/>
        </w:rPr>
        <w:t xml:space="preserve"> КоАП РФ). </w:t>
      </w:r>
    </w:p>
    <w:p w:rsidR="00BB519D" w:rsidRPr="00986496" w:rsidRDefault="00C22198" w:rsidP="00AE422E">
      <w:pPr>
        <w:pStyle w:val="a9"/>
        <w:spacing w:before="168" w:beforeAutospacing="0" w:after="0" w:afterAutospacing="0" w:line="288" w:lineRule="atLeast"/>
        <w:ind w:firstLine="540"/>
        <w:jc w:val="both"/>
        <w:rPr>
          <w:rFonts w:asciiTheme="minorHAnsi" w:hAnsiTheme="minorHAnsi"/>
          <w:sz w:val="22"/>
          <w:szCs w:val="22"/>
        </w:rPr>
      </w:pPr>
      <w:bookmarkStart w:id="0" w:name="_GoBack"/>
      <w:r w:rsidRPr="00C22198">
        <w:rPr>
          <w:rFonts w:asciiTheme="minorHAnsi" w:hAnsiTheme="minorHAnsi"/>
          <w:noProof/>
          <w:sz w:val="22"/>
          <w:szCs w:val="22"/>
          <w:bdr w:val="single" w:sz="4" w:space="0" w:color="auto"/>
        </w:rPr>
        <w:lastRenderedPageBreak/>
        <w:drawing>
          <wp:inline distT="0" distB="0" distL="0" distR="0" wp14:anchorId="42ECED4B" wp14:editId="16583602">
            <wp:extent cx="5683898" cy="28670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3898" cy="2867025"/>
                    </a:xfrm>
                    <a:prstGeom prst="rect">
                      <a:avLst/>
                    </a:prstGeom>
                    <a:noFill/>
                    <a:ln>
                      <a:noFill/>
                    </a:ln>
                  </pic:spPr>
                </pic:pic>
              </a:graphicData>
            </a:graphic>
          </wp:inline>
        </w:drawing>
      </w:r>
      <w:bookmarkEnd w:id="0"/>
    </w:p>
    <w:sectPr w:rsidR="00BB519D" w:rsidRPr="00986496" w:rsidSect="00AE422E">
      <w:pgSz w:w="11906" w:h="16838"/>
      <w:pgMar w:top="672" w:right="850" w:bottom="709"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48" w:rsidRDefault="00B37748" w:rsidP="00571018">
      <w:r>
        <w:separator/>
      </w:r>
    </w:p>
  </w:endnote>
  <w:endnote w:type="continuationSeparator" w:id="0">
    <w:p w:rsidR="00B37748" w:rsidRDefault="00B37748" w:rsidP="0057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48" w:rsidRDefault="00B37748" w:rsidP="00571018">
      <w:r>
        <w:separator/>
      </w:r>
    </w:p>
  </w:footnote>
  <w:footnote w:type="continuationSeparator" w:id="0">
    <w:p w:rsidR="00B37748" w:rsidRDefault="00B37748" w:rsidP="005710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A54"/>
    <w:multiLevelType w:val="hybridMultilevel"/>
    <w:tmpl w:val="E8DAA6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7332AFF"/>
    <w:multiLevelType w:val="hybridMultilevel"/>
    <w:tmpl w:val="621420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018"/>
    <w:rsid w:val="00571018"/>
    <w:rsid w:val="00620836"/>
    <w:rsid w:val="0068508B"/>
    <w:rsid w:val="00986496"/>
    <w:rsid w:val="00AE422E"/>
    <w:rsid w:val="00B37748"/>
    <w:rsid w:val="00BB519D"/>
    <w:rsid w:val="00C22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18"/>
    <w:pPr>
      <w:tabs>
        <w:tab w:val="center" w:pos="4677"/>
        <w:tab w:val="right" w:pos="9355"/>
      </w:tabs>
    </w:pPr>
  </w:style>
  <w:style w:type="character" w:customStyle="1" w:styleId="a4">
    <w:name w:val="Верхний колонтитул Знак"/>
    <w:basedOn w:val="a0"/>
    <w:link w:val="a3"/>
    <w:uiPriority w:val="99"/>
    <w:rsid w:val="00571018"/>
    <w:rPr>
      <w:rFonts w:ascii="Times New Roman" w:eastAsia="Times New Roman" w:hAnsi="Times New Roman" w:cs="Times New Roman"/>
      <w:sz w:val="24"/>
      <w:szCs w:val="24"/>
      <w:lang w:eastAsia="ru-RU"/>
    </w:rPr>
  </w:style>
  <w:style w:type="character" w:styleId="a5">
    <w:name w:val="Hyperlink"/>
    <w:basedOn w:val="a0"/>
    <w:uiPriority w:val="99"/>
    <w:unhideWhenUsed/>
    <w:rsid w:val="00571018"/>
    <w:rPr>
      <w:color w:val="0000FF" w:themeColor="hyperlink"/>
      <w:u w:val="single"/>
    </w:rPr>
  </w:style>
  <w:style w:type="paragraph" w:styleId="a6">
    <w:name w:val="List Paragraph"/>
    <w:basedOn w:val="a"/>
    <w:uiPriority w:val="34"/>
    <w:qFormat/>
    <w:rsid w:val="00571018"/>
    <w:pPr>
      <w:ind w:left="720"/>
      <w:contextualSpacing/>
    </w:pPr>
  </w:style>
  <w:style w:type="paragraph" w:styleId="a7">
    <w:name w:val="footer"/>
    <w:basedOn w:val="a"/>
    <w:link w:val="a8"/>
    <w:uiPriority w:val="99"/>
    <w:unhideWhenUsed/>
    <w:rsid w:val="00571018"/>
    <w:pPr>
      <w:tabs>
        <w:tab w:val="center" w:pos="4677"/>
        <w:tab w:val="right" w:pos="9355"/>
      </w:tabs>
    </w:pPr>
  </w:style>
  <w:style w:type="character" w:customStyle="1" w:styleId="a8">
    <w:name w:val="Нижний колонтитул Знак"/>
    <w:basedOn w:val="a0"/>
    <w:link w:val="a7"/>
    <w:uiPriority w:val="99"/>
    <w:rsid w:val="00571018"/>
    <w:rPr>
      <w:rFonts w:ascii="Times New Roman" w:eastAsia="Times New Roman" w:hAnsi="Times New Roman" w:cs="Times New Roman"/>
      <w:sz w:val="24"/>
      <w:szCs w:val="24"/>
      <w:lang w:eastAsia="ru-RU"/>
    </w:rPr>
  </w:style>
  <w:style w:type="paragraph" w:styleId="a9">
    <w:name w:val="Normal (Web)"/>
    <w:basedOn w:val="a"/>
    <w:uiPriority w:val="99"/>
    <w:unhideWhenUsed/>
    <w:rsid w:val="00986496"/>
    <w:pPr>
      <w:spacing w:before="100" w:beforeAutospacing="1" w:after="100" w:afterAutospacing="1"/>
    </w:pPr>
  </w:style>
  <w:style w:type="paragraph" w:styleId="aa">
    <w:name w:val="Balloon Text"/>
    <w:basedOn w:val="a"/>
    <w:link w:val="ab"/>
    <w:uiPriority w:val="99"/>
    <w:semiHidden/>
    <w:unhideWhenUsed/>
    <w:rsid w:val="00BB519D"/>
    <w:rPr>
      <w:rFonts w:ascii="Tahoma" w:hAnsi="Tahoma" w:cs="Tahoma"/>
      <w:sz w:val="16"/>
      <w:szCs w:val="16"/>
    </w:rPr>
  </w:style>
  <w:style w:type="character" w:customStyle="1" w:styleId="ab">
    <w:name w:val="Текст выноски Знак"/>
    <w:basedOn w:val="a0"/>
    <w:link w:val="aa"/>
    <w:uiPriority w:val="99"/>
    <w:semiHidden/>
    <w:rsid w:val="00BB519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01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018"/>
    <w:pPr>
      <w:tabs>
        <w:tab w:val="center" w:pos="4677"/>
        <w:tab w:val="right" w:pos="9355"/>
      </w:tabs>
    </w:pPr>
  </w:style>
  <w:style w:type="character" w:customStyle="1" w:styleId="a4">
    <w:name w:val="Верхний колонтитул Знак"/>
    <w:basedOn w:val="a0"/>
    <w:link w:val="a3"/>
    <w:uiPriority w:val="99"/>
    <w:rsid w:val="00571018"/>
    <w:rPr>
      <w:rFonts w:ascii="Times New Roman" w:eastAsia="Times New Roman" w:hAnsi="Times New Roman" w:cs="Times New Roman"/>
      <w:sz w:val="24"/>
      <w:szCs w:val="24"/>
      <w:lang w:eastAsia="ru-RU"/>
    </w:rPr>
  </w:style>
  <w:style w:type="character" w:styleId="a5">
    <w:name w:val="Hyperlink"/>
    <w:basedOn w:val="a0"/>
    <w:uiPriority w:val="99"/>
    <w:unhideWhenUsed/>
    <w:rsid w:val="00571018"/>
    <w:rPr>
      <w:color w:val="0000FF" w:themeColor="hyperlink"/>
      <w:u w:val="single"/>
    </w:rPr>
  </w:style>
  <w:style w:type="paragraph" w:styleId="a6">
    <w:name w:val="List Paragraph"/>
    <w:basedOn w:val="a"/>
    <w:uiPriority w:val="34"/>
    <w:qFormat/>
    <w:rsid w:val="00571018"/>
    <w:pPr>
      <w:ind w:left="720"/>
      <w:contextualSpacing/>
    </w:pPr>
  </w:style>
  <w:style w:type="paragraph" w:styleId="a7">
    <w:name w:val="footer"/>
    <w:basedOn w:val="a"/>
    <w:link w:val="a8"/>
    <w:uiPriority w:val="99"/>
    <w:unhideWhenUsed/>
    <w:rsid w:val="00571018"/>
    <w:pPr>
      <w:tabs>
        <w:tab w:val="center" w:pos="4677"/>
        <w:tab w:val="right" w:pos="9355"/>
      </w:tabs>
    </w:pPr>
  </w:style>
  <w:style w:type="character" w:customStyle="1" w:styleId="a8">
    <w:name w:val="Нижний колонтитул Знак"/>
    <w:basedOn w:val="a0"/>
    <w:link w:val="a7"/>
    <w:uiPriority w:val="99"/>
    <w:rsid w:val="00571018"/>
    <w:rPr>
      <w:rFonts w:ascii="Times New Roman" w:eastAsia="Times New Roman" w:hAnsi="Times New Roman" w:cs="Times New Roman"/>
      <w:sz w:val="24"/>
      <w:szCs w:val="24"/>
      <w:lang w:eastAsia="ru-RU"/>
    </w:rPr>
  </w:style>
  <w:style w:type="paragraph" w:styleId="a9">
    <w:name w:val="Normal (Web)"/>
    <w:basedOn w:val="a"/>
    <w:uiPriority w:val="99"/>
    <w:unhideWhenUsed/>
    <w:rsid w:val="00986496"/>
    <w:pPr>
      <w:spacing w:before="100" w:beforeAutospacing="1" w:after="100" w:afterAutospacing="1"/>
    </w:pPr>
  </w:style>
  <w:style w:type="paragraph" w:styleId="aa">
    <w:name w:val="Balloon Text"/>
    <w:basedOn w:val="a"/>
    <w:link w:val="ab"/>
    <w:uiPriority w:val="99"/>
    <w:semiHidden/>
    <w:unhideWhenUsed/>
    <w:rsid w:val="00BB519D"/>
    <w:rPr>
      <w:rFonts w:ascii="Tahoma" w:hAnsi="Tahoma" w:cs="Tahoma"/>
      <w:sz w:val="16"/>
      <w:szCs w:val="16"/>
    </w:rPr>
  </w:style>
  <w:style w:type="character" w:customStyle="1" w:styleId="ab">
    <w:name w:val="Текст выноски Знак"/>
    <w:basedOn w:val="a0"/>
    <w:link w:val="aa"/>
    <w:uiPriority w:val="99"/>
    <w:semiHidden/>
    <w:rsid w:val="00BB519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6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133&amp;dst=7450&amp;field=134&amp;date=10.07.202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5133&amp;dst=7456&amp;field=134&amp;date=10.07.202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75133&amp;dst=8769&amp;field=134&amp;date=10.07.2024" TargetMode="External"/><Relationship Id="rId4" Type="http://schemas.openxmlformats.org/officeDocument/2006/relationships/settings" Target="settings.xml"/><Relationship Id="rId9" Type="http://schemas.openxmlformats.org/officeDocument/2006/relationships/hyperlink" Target="https://login.consultant.ru/link/?req=doc&amp;base=LAW&amp;n=475133&amp;dst=7452&amp;field=134&amp;date=10.07.202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 Татьяна Александровна</dc:creator>
  <cp:lastModifiedBy>Романова Татьяна Александровна</cp:lastModifiedBy>
  <cp:revision>5</cp:revision>
  <dcterms:created xsi:type="dcterms:W3CDTF">2024-07-10T08:19:00Z</dcterms:created>
  <dcterms:modified xsi:type="dcterms:W3CDTF">2024-07-11T13:30:00Z</dcterms:modified>
</cp:coreProperties>
</file>