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ФНС России от 24.03.2023 N БС-4-11/3579@</w:t>
              <w:br/>
              <w:t xml:space="preserve">&lt;О дополнении письма ФНС России от 22.03.2023 N БС-4-11/3383@&gt;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06.04.2023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НАЛОГОВАЯ СЛУЖБА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24 марта 2023 г. N БС-4-11/3579@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Федеральная налоговая служба в дополнение к </w:t>
      </w:r>
      <w:hyperlink w:history="0" r:id="rId7" w:tooltip="Письмо ФНС России от 22.03.2023 N БС-4-11/3383@ &quot;О заполнении Уведомления (КНД 1110355) и платежных поручений в части НДФЛ и страховых взносов&quot; (вместе с &quot;Особенностями заполнения платежного поручения&quot;, &quot;Особенностями заполнения уведомлений&quot;, &quot;Информацией о сроках представления уведомления об исчисленных суммах страховых взносов и налога на доходы физических лиц&quot;) {КонсультантПлюс}">
        <w:r>
          <w:rPr>
            <w:sz w:val="20"/>
            <w:color w:val="0000ff"/>
          </w:rPr>
          <w:t xml:space="preserve">письму</w:t>
        </w:r>
      </w:hyperlink>
      <w:r>
        <w:rPr>
          <w:sz w:val="20"/>
        </w:rPr>
        <w:t xml:space="preserve"> ФНС России от 22.03.2023 N БС-4-11/3383@ направляет взамен </w:t>
      </w:r>
      <w:hyperlink w:history="0" w:anchor="P23" w:tooltip="ИНФОРМАЦИЯ">
        <w:r>
          <w:rPr>
            <w:sz w:val="20"/>
            <w:color w:val="0000ff"/>
          </w:rPr>
          <w:t xml:space="preserve">Приложение N 4</w:t>
        </w:r>
      </w:hyperlink>
      <w:r>
        <w:rPr>
          <w:sz w:val="20"/>
        </w:rPr>
        <w:t xml:space="preserve"> к указанному письму с уточненными данными по срокам представления уведомления по налогам и страховым взносам в части налога на доходы физических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Управлениям ФНС России по субъектам Российской Федерации необходимо довести указанное письмо до нижестоящих налоговых органов и плательщиков страховых взносов и налога на доходы физических лиц.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Действительный</w:t>
      </w:r>
    </w:p>
    <w:p>
      <w:pPr>
        <w:pStyle w:val="0"/>
        <w:jc w:val="right"/>
      </w:pPr>
      <w:r>
        <w:rPr>
          <w:sz w:val="20"/>
        </w:rPr>
        <w:t xml:space="preserve">государственный советник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2 класса</w:t>
      </w:r>
    </w:p>
    <w:p>
      <w:pPr>
        <w:pStyle w:val="0"/>
        <w:jc w:val="right"/>
      </w:pPr>
      <w:r>
        <w:rPr>
          <w:sz w:val="20"/>
        </w:rPr>
        <w:t xml:space="preserve">С.Л.БОНДАРЧУК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both"/>
      </w:pPr>
      <w:r>
        <w:rPr>
          <w:sz w:val="20"/>
        </w:rPr>
      </w:r>
    </w:p>
    <w:bookmarkStart w:id="23" w:name="P23"/>
    <w:bookmarkEnd w:id="23"/>
    <w:p>
      <w:pPr>
        <w:pStyle w:val="2"/>
        <w:jc w:val="center"/>
      </w:pPr>
      <w:r>
        <w:rPr>
          <w:sz w:val="20"/>
        </w:rPr>
        <w:t xml:space="preserve">ИНФОРМАЦИЯ</w:t>
      </w:r>
    </w:p>
    <w:p>
      <w:pPr>
        <w:pStyle w:val="2"/>
        <w:jc w:val="center"/>
      </w:pPr>
      <w:r>
        <w:rPr>
          <w:sz w:val="20"/>
        </w:rPr>
        <w:t xml:space="preserve">О СРОКАХ ПРЕДСТАВЛЕНИЯ УВЕДОМЛЕНИЯ ОБ ИСЧИСЛЕННЫХ СУММАХ</w:t>
      </w:r>
    </w:p>
    <w:p>
      <w:pPr>
        <w:pStyle w:val="2"/>
        <w:jc w:val="center"/>
      </w:pPr>
      <w:r>
        <w:rPr>
          <w:sz w:val="20"/>
        </w:rPr>
        <w:t xml:space="preserve">СТРАХОВЫХ ВЗНОСОВ И НАЛОГА НА ДОХОДЫ ФИЗИЧЕСКИХ ЛИЦ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3"/>
        <w:gridCol w:w="1077"/>
        <w:gridCol w:w="1133"/>
        <w:gridCol w:w="1020"/>
        <w:gridCol w:w="963"/>
        <w:gridCol w:w="1700"/>
        <w:gridCol w:w="963"/>
        <w:gridCol w:w="1417"/>
        <w:gridCol w:w="963"/>
        <w:gridCol w:w="1247"/>
        <w:gridCol w:w="793"/>
        <w:gridCol w:w="1587"/>
        <w:gridCol w:w="2211"/>
      </w:tblGrid>
      <w:tr>
        <w:tc>
          <w:tcPr>
            <w:tcW w:w="79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налога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Категория плательщика</w:t>
            </w:r>
          </w:p>
        </w:tc>
        <w:tc>
          <w:tcPr>
            <w:gridSpan w:val="2"/>
            <w:tcW w:w="215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представления декларации/расчета по налогам и страховым взносам</w:t>
            </w:r>
          </w:p>
        </w:tc>
        <w:tc>
          <w:tcPr>
            <w:gridSpan w:val="2"/>
            <w:tcW w:w="26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представления уведомления по налогам и страховым взносам</w:t>
            </w:r>
          </w:p>
        </w:tc>
        <w:tc>
          <w:tcPr>
            <w:gridSpan w:val="2"/>
            <w:tcW w:w="23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Период, указываемый в платежном поручении (код отчетного периода)</w:t>
            </w:r>
          </w:p>
        </w:tc>
        <w:tc>
          <w:tcPr>
            <w:gridSpan w:val="2"/>
            <w:tcW w:w="22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Период, указываемый в уведомлении (код отчетного периода)</w:t>
            </w:r>
          </w:p>
        </w:tc>
        <w:tc>
          <w:tcPr>
            <w:gridSpan w:val="2"/>
            <w:tcW w:w="23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уплаты налогов, страховых взносов в соответствии с законодательством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Исключение (случаи, когда уведомления не предоставляются)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налоговый/отчетный период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представления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отчетный период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представления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отчетный период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налогового периода в платежном поручении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отчетный период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отчетного (налогового) периода/номер месяца (квартала)</w:t>
            </w:r>
          </w:p>
        </w:tc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отчетный период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уплаты налога, страховых взносов</w:t>
            </w:r>
          </w:p>
        </w:tc>
        <w:tc>
          <w:tcPr>
            <w:vMerge w:val="continue"/>
          </w:tcPr>
          <w:p/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00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tcW w:w="79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Страховые взносы</w:t>
            </w:r>
          </w:p>
        </w:tc>
        <w:tc>
          <w:tcPr>
            <w:tcW w:w="107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плательщики, производящие выплаты и иные вознаграждения физическим лицам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квартал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25.04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март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25.03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март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МС.01.ГГГГ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МС.02.ГГГГ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МС.03.ГГГГ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март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21/02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21/03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март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28.04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март в апреле 25.04 уведомление по страховым взносам не предоставляется, так как срок предоставления расчета и уведомления совпадает.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полугодие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25.07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июнь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25.05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25.06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июнь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МС.04.ГГГГ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МС.05.ГГГГ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МС.06.ГГГГ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июнь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31/02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31/03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 май июнь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28.05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28.07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июнь в июле 25.07 уведомление по страховым взносам не предоставляется, так как срок предоставления расчета и уведомления совпадает.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 месяцев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25.10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август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сентябрь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25.09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август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сентябрь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МС.07.ГГГГ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МС.08.ГГГГ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МС.09.ГГГГ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август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сентябрь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33/02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33/03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 август сентябрь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28.09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28.10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сентябрь в октябре 25.10 уведомление постраховым взносам не предоставляется, так как срок предоставления расчета и уведомления совпадает.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102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25.01 года следующего за истекшим налоговым периодом</w:t>
            </w:r>
          </w:p>
        </w:tc>
        <w:tc>
          <w:tcPr>
            <w:tcW w:w="96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</w:t>
            </w:r>
          </w:p>
        </w:tc>
        <w:tc>
          <w:tcPr>
            <w:tcW w:w="170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25.11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25.12</w:t>
            </w:r>
          </w:p>
        </w:tc>
        <w:tc>
          <w:tcPr>
            <w:tcW w:w="96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</w:t>
            </w:r>
          </w:p>
        </w:tc>
        <w:tc>
          <w:tcPr>
            <w:tcW w:w="141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МС.10.ГГГГ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МС.11.ГГГГ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МС.12.ГГГГ</w:t>
            </w:r>
          </w:p>
        </w:tc>
        <w:tc>
          <w:tcPr>
            <w:tcW w:w="96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</w:t>
            </w:r>
          </w:p>
        </w:tc>
        <w:tc>
          <w:tcPr>
            <w:tcW w:w="124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34/02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34/03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 ноябрь декабрь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28.11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28.12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28.01</w:t>
            </w:r>
          </w:p>
        </w:tc>
        <w:tc>
          <w:tcPr>
            <w:tcW w:w="221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декабрь в январе 25.01 уведомление по страховым взносам не предоставляется, так как срок предоставления расчета и уведомления совпадает.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28.01 года следующего за истекшим налоговым периодом</w:t>
            </w:r>
          </w:p>
        </w:tc>
        <w:tc>
          <w:tcPr>
            <w:vMerge w:val="continue"/>
          </w:tcPr>
          <w:p/>
        </w:tc>
      </w:tr>
      <w:tr>
        <w:tc>
          <w:tcPr>
            <w:tcW w:w="79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Налог на доходы физических лиц</w:t>
            </w:r>
          </w:p>
        </w:tc>
        <w:tc>
          <w:tcPr>
            <w:tcW w:w="107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плательщики, производящие выплаты и иные вознаграждения физическим лицам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квартал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25.04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март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25.03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март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МС.01.ГГГГ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МС.02.ГГГГ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МС.03.ГГГГ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февраль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март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21/02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21/03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январь февраль март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28.03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полугодие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25.07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июнь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25.05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25.06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июнь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МС.04.ГГГГ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МС.05.ГГГГ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МС.06.ГГГГ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июнь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31/02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31/03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апрель май июнь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28.05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28.06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 месяцев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25.10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август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сентябрь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25.09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 август сентябрь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МС.07.ГГГГ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МС.08.ГГГГ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МС.09.ГГГГ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август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сентябрь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33/02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33/03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июль август сентябрь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28.07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28.09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25.02 года следующего за истекшим налоговым периодом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25.10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25.11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25.12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 позднее последнего рабочего дня года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МС.10.ГГГГ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МС.11.ГГГГ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МС.12.ГГГГ</w:t>
            </w:r>
          </w:p>
        </w:tc>
        <w:tc>
          <w:tcPr>
            <w:tcW w:w="96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декабрь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34/01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34/02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34/03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34/04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октябрь ноябрь декабрь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28.10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28.11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28.12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последний рабочий день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8"/>
      <w:headerReference w:type="first" r:id="rId8"/>
      <w:footerReference w:type="default" r:id="rId9"/>
      <w:footerReference w:type="first" r:id="rId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ФНС России от 24.03.2023 N БС-4-11/3579@</w:t>
            <w:br/>
            <w:t>&lt;О дополнении письма ФНС России от 22.03.2023 N БС-4-11/3383@&gt;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ФНС России от 24.03.2023 N БС-4-11/3579@</w:t>
            <w:br/>
            <w:t>&lt;О дополнении письма ФНС России от 22.03.2023 N БС-4-11/3383@&gt;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E3B40F4AB4C2850D9C31F98BE8A9D75702A57158A524A2B7D690ACAC50238E892ECAD96DE3957926FFA31EC7F2u4f5I" TargetMode = "External"/>
	<Relationship Id="rId8" Type="http://schemas.openxmlformats.org/officeDocument/2006/relationships/header" Target="header2.xml"/>
	<Relationship Id="rId9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ФНС России от 24.03.2023 N БС-4-11/3579@
&lt;О дополнении письма ФНС России от 22.03.2023 N БС-4-11/3383@&gt;</dc:title>
  <dcterms:created xsi:type="dcterms:W3CDTF">2023-04-06T08:31:46Z</dcterms:created>
</cp:coreProperties>
</file>